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E73C2" w14:textId="77777777" w:rsidR="0042529B" w:rsidRPr="00514547" w:rsidRDefault="0042529B" w:rsidP="0042529B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pCrU6.4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pPH156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650B8D7A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73F5D69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Andre Greiner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24EF41B0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9B7CDCA" w14:textId="13D23841" w:rsidR="0042529B" w:rsidRPr="00514547" w:rsidRDefault="00464381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#4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42529B">
        <w:rPr>
          <w:rFonts w:ascii="Helvetica" w:eastAsia="Times New Roman" w:hAnsi="Helvetica" w:cs="Times New Roman"/>
          <w:color w:val="333333"/>
          <w:lang w:val="en-US" w:eastAsia="de-DE"/>
        </w:rPr>
        <w:t xml:space="preserve">(3’ of </w:t>
      </w:r>
      <w:hyperlink r:id="rId4" w:anchor="!gene?search=1&amp;crown=1&amp;detail=1&amp;method=0&amp;searchText=transcriptid:30783541" w:history="1">
        <w:r w:rsidR="00272462" w:rsidRPr="00272462">
          <w:rPr>
            <w:rStyle w:val="Link"/>
            <w:rFonts w:ascii="Helvetica" w:eastAsia="Times New Roman" w:hAnsi="Helvetica" w:cs="Times New Roman"/>
            <w:lang w:val="en-US" w:eastAsia="de-DE"/>
          </w:rPr>
          <w:t>Cre15.g640800</w:t>
        </w:r>
      </w:hyperlink>
      <w:r w:rsidR="0042529B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. The 20 </w:t>
      </w:r>
      <w:proofErr w:type="spellStart"/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42529B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5" w:history="1">
        <w:proofErr w:type="spellStart"/>
        <w:r w:rsidR="0042529B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42529B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42529B" w:rsidRPr="00514547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6B5E717B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2134773E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74CF4D3A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8EA4AD1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5F4522E5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7A588567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3102B4EF" w14:textId="77777777" w:rsidR="0042529B" w:rsidRDefault="0042529B" w:rsidP="0042529B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https://benchling.com/s/K8B7iSVp</w:t>
        </w:r>
      </w:hyperlink>
    </w:p>
    <w:p w14:paraId="4FE3F9AF" w14:textId="77777777" w:rsidR="0042529B" w:rsidRPr="00514547" w:rsidRDefault="0042529B" w:rsidP="0042529B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</w:p>
    <w:p w14:paraId="5F36F23B" w14:textId="77777777" w:rsidR="00464381" w:rsidRPr="00C95784" w:rsidRDefault="00464381" w:rsidP="00464381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59F7A610" w14:textId="77777777" w:rsidR="00464381" w:rsidRDefault="00464381" w:rsidP="00464381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0CAA8B7B" w14:textId="77777777" w:rsidR="00464381" w:rsidRDefault="00464381" w:rsidP="00464381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05B5B518" w14:textId="77777777" w:rsidR="00464381" w:rsidRDefault="00464381" w:rsidP="00464381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26F1112B" w14:textId="77777777" w:rsidR="00464381" w:rsidRPr="00C2310C" w:rsidRDefault="00464381" w:rsidP="00464381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092C61FC" w14:textId="77777777" w:rsidR="00464381" w:rsidRDefault="00464381" w:rsidP="00464381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06B7BF57" w14:textId="77777777" w:rsidR="00464381" w:rsidRPr="00E15BD2" w:rsidRDefault="00464381" w:rsidP="00464381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p w14:paraId="75C1FE09" w14:textId="77777777" w:rsidR="00F02F37" w:rsidRPr="00464381" w:rsidRDefault="00F02F37" w:rsidP="00464381">
      <w:pPr>
        <w:rPr>
          <w:lang w:val="en-US"/>
        </w:rPr>
      </w:pPr>
      <w:bookmarkStart w:id="0" w:name="_GoBack"/>
      <w:bookmarkEnd w:id="0"/>
    </w:p>
    <w:sectPr w:rsidR="00F02F37" w:rsidRPr="00464381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29B"/>
    <w:rsid w:val="00272462"/>
    <w:rsid w:val="0029015E"/>
    <w:rsid w:val="002E1BDD"/>
    <w:rsid w:val="003B3CA7"/>
    <w:rsid w:val="003E030F"/>
    <w:rsid w:val="0042529B"/>
    <w:rsid w:val="00464381"/>
    <w:rsid w:val="00755926"/>
    <w:rsid w:val="00AE32C2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C87F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252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42529B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252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K8B7iSVp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1469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3</cp:revision>
  <dcterms:created xsi:type="dcterms:W3CDTF">2017-10-23T12:46:00Z</dcterms:created>
  <dcterms:modified xsi:type="dcterms:W3CDTF">2017-10-25T14:20:00Z</dcterms:modified>
</cp:coreProperties>
</file>