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7F" w:rsidRPr="00462E7F" w:rsidRDefault="00462E7F" w:rsidP="0060195C">
      <w:pPr>
        <w:rPr>
          <w:b/>
          <w:u w:val="single"/>
        </w:rPr>
      </w:pPr>
      <w:r w:rsidRPr="00462E7F">
        <w:rPr>
          <w:b/>
          <w:u w:val="single"/>
        </w:rPr>
        <w:t>Procedure</w:t>
      </w:r>
    </w:p>
    <w:p w:rsidR="00F0535C" w:rsidRDefault="0060195C" w:rsidP="0060195C">
      <w:pPr>
        <w:pStyle w:val="ListParagraph"/>
        <w:numPr>
          <w:ilvl w:val="0"/>
          <w:numId w:val="1"/>
        </w:numPr>
      </w:pPr>
      <w:r>
        <w:t xml:space="preserve">Prepare </w:t>
      </w:r>
      <w:proofErr w:type="spellStart"/>
      <w:r>
        <w:t>minimal+Arg</w:t>
      </w:r>
      <w:proofErr w:type="spellEnd"/>
      <w:r>
        <w:t xml:space="preserve"> or TARG media and autoclave as normally would.</w:t>
      </w:r>
    </w:p>
    <w:p w:rsidR="0060195C" w:rsidRDefault="00BD1C0E" w:rsidP="0060195C">
      <w:pPr>
        <w:pStyle w:val="ListParagraph"/>
        <w:numPr>
          <w:ilvl w:val="0"/>
          <w:numId w:val="1"/>
        </w:numPr>
      </w:pPr>
      <w:r>
        <w:t>During autoclave cycle, measure 40 mg carbendazim (for 1 L) in fume hood.  Take special precaution when handling carbendazim – use proper PPE inclu</w:t>
      </w:r>
      <w:r w:rsidR="00462E7F">
        <w:t>ding gloves, goggles/fume hood</w:t>
      </w:r>
      <w:r>
        <w:t xml:space="preserve">, to prevent entry into respiratory </w:t>
      </w:r>
      <w:r w:rsidR="00FC06F3">
        <w:t>system</w:t>
      </w:r>
      <w:r>
        <w:t xml:space="preserve">.  </w:t>
      </w:r>
    </w:p>
    <w:p w:rsidR="00BD1C0E" w:rsidRDefault="00BD1C0E" w:rsidP="0060195C">
      <w:pPr>
        <w:pStyle w:val="ListParagraph"/>
        <w:numPr>
          <w:ilvl w:val="0"/>
          <w:numId w:val="1"/>
        </w:numPr>
      </w:pPr>
      <w:r>
        <w:t>Dissolve carbendazim in 0.5-1 ml dimethyl-formamide (DMF).</w:t>
      </w:r>
    </w:p>
    <w:p w:rsidR="00BD1C0E" w:rsidRDefault="00462E7F" w:rsidP="0060195C">
      <w:pPr>
        <w:pStyle w:val="ListParagraph"/>
        <w:numPr>
          <w:ilvl w:val="0"/>
          <w:numId w:val="1"/>
        </w:numPr>
      </w:pPr>
      <w:r>
        <w:t xml:space="preserve">Following </w:t>
      </w:r>
      <w:r w:rsidR="00FC06F3">
        <w:t xml:space="preserve">liquid </w:t>
      </w:r>
      <w:r w:rsidR="00BD1C0E">
        <w:t xml:space="preserve">autoclave cycle, remove and place on stir plate to cool, </w:t>
      </w:r>
      <w:r>
        <w:t xml:space="preserve">stirring </w:t>
      </w:r>
      <w:r w:rsidR="00BD1C0E">
        <w:t>about 45-70 min.</w:t>
      </w:r>
    </w:p>
    <w:p w:rsidR="00C64E37" w:rsidRDefault="00BD1C0E" w:rsidP="0060195C">
      <w:pPr>
        <w:pStyle w:val="ListParagraph"/>
        <w:numPr>
          <w:ilvl w:val="0"/>
          <w:numId w:val="1"/>
        </w:numPr>
      </w:pPr>
      <w:r>
        <w:t xml:space="preserve">Once media is cool enough to hold indefinitely, use sterile technique to add antibiotics and </w:t>
      </w:r>
      <w:proofErr w:type="spellStart"/>
      <w:r>
        <w:t>fungiside</w:t>
      </w:r>
      <w:proofErr w:type="spellEnd"/>
      <w:r w:rsidR="00D152CD">
        <w:t xml:space="preserve"> in the laminar flow hood</w:t>
      </w:r>
      <w:r>
        <w:t>.  Return to stirring plates to mix well (~2-5 min).  Pour plates</w:t>
      </w:r>
      <w:r w:rsidR="00FC06F3">
        <w:t xml:space="preserve"> and allow to cool 4-16 </w:t>
      </w:r>
      <w:proofErr w:type="spellStart"/>
      <w:r w:rsidR="00FC06F3">
        <w:t>hrs</w:t>
      </w:r>
      <w:proofErr w:type="spellEnd"/>
      <w:r w:rsidR="00FC06F3">
        <w:t>, allow some ventilation to limit condensation</w:t>
      </w:r>
      <w:r>
        <w:t xml:space="preserve">.  </w:t>
      </w:r>
    </w:p>
    <w:p w:rsidR="00C64E37" w:rsidRDefault="00C64E37" w:rsidP="00C64E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563"/>
        <w:gridCol w:w="1824"/>
        <w:gridCol w:w="1824"/>
        <w:gridCol w:w="1421"/>
        <w:gridCol w:w="1189"/>
      </w:tblGrid>
      <w:tr w:rsidR="00B232D2" w:rsidRPr="00BD1C0E" w:rsidTr="00B232D2">
        <w:tc>
          <w:tcPr>
            <w:tcW w:w="1544" w:type="dxa"/>
          </w:tcPr>
          <w:p w:rsidR="00B232D2" w:rsidRPr="00BD1C0E" w:rsidRDefault="00B232D2" w:rsidP="00BD1C0E">
            <w:pPr>
              <w:jc w:val="center"/>
              <w:rPr>
                <w:b/>
              </w:rPr>
            </w:pPr>
            <w:r w:rsidRPr="00BD1C0E">
              <w:rPr>
                <w:b/>
              </w:rPr>
              <w:t>Chemical</w:t>
            </w:r>
          </w:p>
        </w:tc>
        <w:tc>
          <w:tcPr>
            <w:tcW w:w="1619" w:type="dxa"/>
          </w:tcPr>
          <w:p w:rsidR="00B232D2" w:rsidRPr="00BD1C0E" w:rsidRDefault="00B232D2" w:rsidP="00BD1C0E">
            <w:pPr>
              <w:jc w:val="center"/>
              <w:rPr>
                <w:b/>
              </w:rPr>
            </w:pPr>
            <w:r>
              <w:rPr>
                <w:b/>
              </w:rPr>
              <w:t>Protects Against</w:t>
            </w:r>
          </w:p>
        </w:tc>
        <w:tc>
          <w:tcPr>
            <w:tcW w:w="1858" w:type="dxa"/>
          </w:tcPr>
          <w:p w:rsidR="00B232D2" w:rsidRPr="00BD1C0E" w:rsidRDefault="00B232D2" w:rsidP="00BD1C0E">
            <w:pPr>
              <w:jc w:val="center"/>
              <w:rPr>
                <w:b/>
              </w:rPr>
            </w:pPr>
            <w:r w:rsidRPr="00BD1C0E">
              <w:rPr>
                <w:b/>
              </w:rPr>
              <w:t>Stock Concentration</w:t>
            </w:r>
          </w:p>
        </w:tc>
        <w:tc>
          <w:tcPr>
            <w:tcW w:w="1858" w:type="dxa"/>
          </w:tcPr>
          <w:p w:rsidR="00B232D2" w:rsidRPr="00BD1C0E" w:rsidRDefault="00DF3A52" w:rsidP="00BD1C0E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  <w:r w:rsidR="00B232D2" w:rsidRPr="00BD1C0E">
              <w:rPr>
                <w:b/>
              </w:rPr>
              <w:t xml:space="preserve"> Concentration</w:t>
            </w:r>
          </w:p>
        </w:tc>
        <w:tc>
          <w:tcPr>
            <w:tcW w:w="1479" w:type="dxa"/>
          </w:tcPr>
          <w:p w:rsidR="00B232D2" w:rsidRPr="00BD1C0E" w:rsidRDefault="00B232D2" w:rsidP="00BD1C0E">
            <w:pPr>
              <w:jc w:val="center"/>
              <w:rPr>
                <w:b/>
              </w:rPr>
            </w:pPr>
            <w:r w:rsidRPr="00BD1C0E">
              <w:rPr>
                <w:b/>
              </w:rPr>
              <w:t>Solvent</w:t>
            </w:r>
          </w:p>
        </w:tc>
        <w:tc>
          <w:tcPr>
            <w:tcW w:w="1218" w:type="dxa"/>
          </w:tcPr>
          <w:p w:rsidR="00B232D2" w:rsidRPr="00BD1C0E" w:rsidRDefault="00B232D2" w:rsidP="00372DE3">
            <w:pPr>
              <w:jc w:val="center"/>
              <w:rPr>
                <w:b/>
              </w:rPr>
            </w:pPr>
            <w:r>
              <w:rPr>
                <w:b/>
              </w:rPr>
              <w:t xml:space="preserve">Volume </w:t>
            </w:r>
            <w:r w:rsidR="00372DE3">
              <w:rPr>
                <w:b/>
              </w:rPr>
              <w:t xml:space="preserve">of </w:t>
            </w:r>
            <w:r>
              <w:rPr>
                <w:b/>
              </w:rPr>
              <w:t xml:space="preserve">Stock </w:t>
            </w:r>
            <w:r w:rsidR="00372DE3">
              <w:rPr>
                <w:b/>
              </w:rPr>
              <w:t>per</w:t>
            </w:r>
            <w:r>
              <w:rPr>
                <w:b/>
              </w:rPr>
              <w:t xml:space="preserve"> 1L</w:t>
            </w:r>
          </w:p>
        </w:tc>
      </w:tr>
      <w:tr w:rsidR="00B232D2" w:rsidTr="00B232D2">
        <w:tc>
          <w:tcPr>
            <w:tcW w:w="1544" w:type="dxa"/>
          </w:tcPr>
          <w:p w:rsidR="00B232D2" w:rsidRDefault="00B232D2" w:rsidP="00BD1C0E">
            <w:r>
              <w:t>Ampicillin</w:t>
            </w:r>
          </w:p>
        </w:tc>
        <w:tc>
          <w:tcPr>
            <w:tcW w:w="1619" w:type="dxa"/>
          </w:tcPr>
          <w:p w:rsidR="00B232D2" w:rsidRDefault="00B232D2" w:rsidP="00BD1C0E">
            <w:r>
              <w:t>Broad spectrum – gram +/- bacteria</w:t>
            </w:r>
          </w:p>
        </w:tc>
        <w:tc>
          <w:tcPr>
            <w:tcW w:w="1858" w:type="dxa"/>
          </w:tcPr>
          <w:p w:rsidR="00B232D2" w:rsidRDefault="00B232D2" w:rsidP="00BD1C0E">
            <w:r>
              <w:t>100 mg/ml</w:t>
            </w:r>
          </w:p>
        </w:tc>
        <w:tc>
          <w:tcPr>
            <w:tcW w:w="1858" w:type="dxa"/>
          </w:tcPr>
          <w:p w:rsidR="00B232D2" w:rsidRDefault="00B232D2" w:rsidP="00BD1C0E">
            <w:r>
              <w:t xml:space="preserve">500 </w:t>
            </w:r>
            <w:proofErr w:type="spellStart"/>
            <w:r>
              <w:t>ug</w:t>
            </w:r>
            <w:proofErr w:type="spellEnd"/>
            <w:r>
              <w:t>/ml</w:t>
            </w:r>
          </w:p>
        </w:tc>
        <w:tc>
          <w:tcPr>
            <w:tcW w:w="1479" w:type="dxa"/>
          </w:tcPr>
          <w:p w:rsidR="00B232D2" w:rsidRDefault="00B232D2" w:rsidP="00BD1C0E">
            <w:r>
              <w:t>Water</w:t>
            </w:r>
          </w:p>
        </w:tc>
        <w:tc>
          <w:tcPr>
            <w:tcW w:w="1218" w:type="dxa"/>
          </w:tcPr>
          <w:p w:rsidR="00B232D2" w:rsidRDefault="00B232D2" w:rsidP="00BD1C0E">
            <w:r>
              <w:t>5 ml</w:t>
            </w:r>
          </w:p>
        </w:tc>
      </w:tr>
      <w:tr w:rsidR="00B232D2" w:rsidTr="00B232D2">
        <w:tc>
          <w:tcPr>
            <w:tcW w:w="1544" w:type="dxa"/>
          </w:tcPr>
          <w:p w:rsidR="00B232D2" w:rsidRDefault="00B232D2" w:rsidP="00BD1C0E">
            <w:r>
              <w:t>Cefotaxime</w:t>
            </w:r>
          </w:p>
        </w:tc>
        <w:tc>
          <w:tcPr>
            <w:tcW w:w="1619" w:type="dxa"/>
          </w:tcPr>
          <w:p w:rsidR="00B232D2" w:rsidRDefault="00B232D2" w:rsidP="00BD1C0E">
            <w:r>
              <w:t>Broad spectrum – gram +/- bacteria</w:t>
            </w:r>
          </w:p>
        </w:tc>
        <w:tc>
          <w:tcPr>
            <w:tcW w:w="1858" w:type="dxa"/>
          </w:tcPr>
          <w:p w:rsidR="00B232D2" w:rsidRDefault="00B232D2" w:rsidP="00BD1C0E">
            <w:r>
              <w:t>50 mg/ml</w:t>
            </w:r>
          </w:p>
        </w:tc>
        <w:tc>
          <w:tcPr>
            <w:tcW w:w="1858" w:type="dxa"/>
          </w:tcPr>
          <w:p w:rsidR="00B232D2" w:rsidRDefault="00B232D2" w:rsidP="00BD1C0E">
            <w:r>
              <w:t xml:space="preserve">100 </w:t>
            </w:r>
            <w:proofErr w:type="spellStart"/>
            <w:r>
              <w:t>ug</w:t>
            </w:r>
            <w:proofErr w:type="spellEnd"/>
            <w:r>
              <w:t>/ml</w:t>
            </w:r>
          </w:p>
        </w:tc>
        <w:tc>
          <w:tcPr>
            <w:tcW w:w="1479" w:type="dxa"/>
          </w:tcPr>
          <w:p w:rsidR="00B232D2" w:rsidRDefault="00B232D2" w:rsidP="00BD1C0E">
            <w:r>
              <w:t>Water</w:t>
            </w:r>
          </w:p>
        </w:tc>
        <w:tc>
          <w:tcPr>
            <w:tcW w:w="1218" w:type="dxa"/>
          </w:tcPr>
          <w:p w:rsidR="00B232D2" w:rsidRDefault="00B232D2" w:rsidP="00BD1C0E">
            <w:r>
              <w:t>2 ml</w:t>
            </w:r>
          </w:p>
        </w:tc>
      </w:tr>
      <w:tr w:rsidR="00B232D2" w:rsidTr="00B232D2">
        <w:tc>
          <w:tcPr>
            <w:tcW w:w="1544" w:type="dxa"/>
          </w:tcPr>
          <w:p w:rsidR="00B232D2" w:rsidRDefault="00B232D2" w:rsidP="00BD1C0E">
            <w:r>
              <w:t>Carbendazim</w:t>
            </w:r>
          </w:p>
        </w:tc>
        <w:tc>
          <w:tcPr>
            <w:tcW w:w="1619" w:type="dxa"/>
          </w:tcPr>
          <w:p w:rsidR="00B232D2" w:rsidRDefault="00B232D2" w:rsidP="00BD1C0E">
            <w:r>
              <w:t>Broad spectrum – fungi</w:t>
            </w:r>
          </w:p>
        </w:tc>
        <w:tc>
          <w:tcPr>
            <w:tcW w:w="1858" w:type="dxa"/>
          </w:tcPr>
          <w:p w:rsidR="00B232D2" w:rsidRDefault="00462E7F" w:rsidP="00BD1C0E">
            <w:r>
              <w:t>80</w:t>
            </w:r>
            <w:r w:rsidR="00B232D2">
              <w:t xml:space="preserve"> mg/ml</w:t>
            </w:r>
          </w:p>
        </w:tc>
        <w:tc>
          <w:tcPr>
            <w:tcW w:w="1858" w:type="dxa"/>
          </w:tcPr>
          <w:p w:rsidR="00B232D2" w:rsidRDefault="00B232D2" w:rsidP="00BD1C0E">
            <w:r>
              <w:t xml:space="preserve">40 </w:t>
            </w:r>
            <w:proofErr w:type="spellStart"/>
            <w:r>
              <w:t>ug</w:t>
            </w:r>
            <w:proofErr w:type="spellEnd"/>
            <w:r>
              <w:t>/ml</w:t>
            </w:r>
          </w:p>
        </w:tc>
        <w:tc>
          <w:tcPr>
            <w:tcW w:w="1479" w:type="dxa"/>
          </w:tcPr>
          <w:p w:rsidR="00B232D2" w:rsidRDefault="00B232D2" w:rsidP="00BD1C0E">
            <w:r>
              <w:t>DMF</w:t>
            </w:r>
          </w:p>
        </w:tc>
        <w:tc>
          <w:tcPr>
            <w:tcW w:w="1218" w:type="dxa"/>
          </w:tcPr>
          <w:p w:rsidR="00B232D2" w:rsidRDefault="00462E7F" w:rsidP="00BD1C0E">
            <w:r>
              <w:t>0.5</w:t>
            </w:r>
            <w:r w:rsidR="00B232D2">
              <w:t xml:space="preserve"> ml </w:t>
            </w:r>
          </w:p>
        </w:tc>
      </w:tr>
    </w:tbl>
    <w:p w:rsidR="00BD1C0E" w:rsidRDefault="00BD1C0E" w:rsidP="00BD1C0E"/>
    <w:p w:rsidR="00462E7F" w:rsidRDefault="00462E7F" w:rsidP="00BD1C0E">
      <w:r w:rsidRPr="00462E7F">
        <w:rPr>
          <w:b/>
          <w:u w:val="single"/>
        </w:rPr>
        <w:t>Additional Comments</w:t>
      </w:r>
      <w:r>
        <w:t>:</w:t>
      </w:r>
    </w:p>
    <w:p w:rsidR="00C64E37" w:rsidRDefault="00462E7F" w:rsidP="00BD1C0E">
      <w:r>
        <w:t xml:space="preserve">Since the media now contains these chemicals, it’s best to </w:t>
      </w:r>
      <w:r w:rsidRPr="00D152CD">
        <w:rPr>
          <w:u w:val="single"/>
        </w:rPr>
        <w:t>wear gloves while pouring and handling these plates</w:t>
      </w:r>
      <w:r>
        <w:t xml:space="preserve">.  </w:t>
      </w:r>
      <w:r w:rsidR="00C64E37">
        <w:t xml:space="preserve">When preparing aliquots for these antibiotics, remember to filter sterilize before </w:t>
      </w:r>
      <w:proofErr w:type="spellStart"/>
      <w:r w:rsidR="00C64E37">
        <w:t>aliquoting</w:t>
      </w:r>
      <w:proofErr w:type="spellEnd"/>
      <w:r w:rsidR="00C64E37">
        <w:t xml:space="preserve">.  I </w:t>
      </w:r>
      <w:r>
        <w:t>don’t</w:t>
      </w:r>
      <w:r w:rsidR="00C64E37">
        <w:t xml:space="preserve"> filter sterilize the carbendazim because the DMF was a bit more viscous and thought it might clog </w:t>
      </w:r>
      <w:bookmarkStart w:id="0" w:name="_GoBack"/>
      <w:bookmarkEnd w:id="0"/>
      <w:r w:rsidR="00C64E37">
        <w:t xml:space="preserve">the filter – </w:t>
      </w:r>
      <w:r w:rsidR="00372DE3">
        <w:t>has yet to</w:t>
      </w:r>
      <w:r w:rsidR="00C64E37">
        <w:t xml:space="preserve"> negatively affect sterility</w:t>
      </w:r>
      <w:r w:rsidR="00372DE3">
        <w:t xml:space="preserve"> (so 2+ years not an issue)</w:t>
      </w:r>
      <w:r w:rsidR="00C64E37">
        <w:t>.</w:t>
      </w:r>
      <w:r>
        <w:t xml:space="preserve">  </w:t>
      </w:r>
      <w:proofErr w:type="spellStart"/>
      <w:r>
        <w:t>Carbendazim</w:t>
      </w:r>
      <w:proofErr w:type="spellEnd"/>
      <w:r>
        <w:t xml:space="preserve"> won’t effectively go into solution if added directly to media, must first dissolve in DMF.</w:t>
      </w:r>
    </w:p>
    <w:p w:rsidR="008A1F8B" w:rsidRPr="00372DE3" w:rsidRDefault="00462E7F" w:rsidP="00BD1C0E">
      <w:pPr>
        <w:rPr>
          <w:b/>
          <w:u w:val="single"/>
        </w:rPr>
      </w:pPr>
      <w:r>
        <w:rPr>
          <w:b/>
          <w:u w:val="single"/>
        </w:rPr>
        <w:t>Adapted from</w:t>
      </w:r>
      <w:r w:rsidR="00372DE3" w:rsidRPr="00372DE3">
        <w:rPr>
          <w:b/>
          <w:u w:val="single"/>
        </w:rPr>
        <w:t>:</w:t>
      </w:r>
    </w:p>
    <w:p w:rsidR="008A1F8B" w:rsidRDefault="008A1F8B" w:rsidP="00BD1C0E">
      <w:proofErr w:type="spellStart"/>
      <w:r>
        <w:t>Kan</w:t>
      </w:r>
      <w:proofErr w:type="spellEnd"/>
      <w:r>
        <w:t xml:space="preserve">, </w:t>
      </w:r>
      <w:proofErr w:type="spellStart"/>
      <w:r>
        <w:t>Yinan</w:t>
      </w:r>
      <w:proofErr w:type="spellEnd"/>
      <w:r>
        <w:t xml:space="preserve">, and </w:t>
      </w:r>
      <w:proofErr w:type="spellStart"/>
      <w:r>
        <w:t>Junmin</w:t>
      </w:r>
      <w:proofErr w:type="spellEnd"/>
      <w:r>
        <w:t xml:space="preserve"> Pan. "A One-Shot Solution</w:t>
      </w:r>
      <w:r w:rsidR="00462E7F">
        <w:t xml:space="preserve"> t</w:t>
      </w:r>
      <w:r>
        <w:t xml:space="preserve">o Bacterial </w:t>
      </w:r>
      <w:proofErr w:type="gramStart"/>
      <w:r>
        <w:t>And</w:t>
      </w:r>
      <w:proofErr w:type="gramEnd"/>
      <w:r>
        <w:t xml:space="preserve"> Fungal Contamination In The Green Alga </w:t>
      </w:r>
      <w:proofErr w:type="spellStart"/>
      <w:r w:rsidRPr="00117C6C">
        <w:rPr>
          <w:i/>
        </w:rPr>
        <w:t>Chlamydomonas</w:t>
      </w:r>
      <w:proofErr w:type="spellEnd"/>
      <w:r w:rsidRPr="00117C6C">
        <w:rPr>
          <w:i/>
        </w:rPr>
        <w:t xml:space="preserve"> </w:t>
      </w:r>
      <w:proofErr w:type="spellStart"/>
      <w:r w:rsidRPr="00117C6C">
        <w:rPr>
          <w:i/>
        </w:rPr>
        <w:t>Reinhardtii</w:t>
      </w:r>
      <w:proofErr w:type="spellEnd"/>
      <w:r>
        <w:t xml:space="preserve"> Culture By Using An Antibiotic Cocktail1." </w:t>
      </w:r>
      <w:r>
        <w:rPr>
          <w:i/>
          <w:iCs/>
        </w:rPr>
        <w:t>Journal of Phycology</w:t>
      </w:r>
      <w:r>
        <w:t xml:space="preserve"> 46.6 (2010): 1356-358. Web.</w:t>
      </w:r>
    </w:p>
    <w:p w:rsidR="008A1F8B" w:rsidRDefault="008A1F8B" w:rsidP="00BD1C0E">
      <w:r>
        <w:t xml:space="preserve">Mahan, Kristina, Obed Odom, and David Herrin. "Controlling Fungal Contamination in </w:t>
      </w:r>
      <w:proofErr w:type="spellStart"/>
      <w:r w:rsidRPr="00117C6C">
        <w:rPr>
          <w:i/>
        </w:rPr>
        <w:t>Chlamydomonas</w:t>
      </w:r>
      <w:proofErr w:type="spellEnd"/>
      <w:r>
        <w:t xml:space="preserve"> </w:t>
      </w:r>
      <w:proofErr w:type="spellStart"/>
      <w:r w:rsidRPr="00117C6C">
        <w:rPr>
          <w:i/>
        </w:rPr>
        <w:t>Reinhardtii</w:t>
      </w:r>
      <w:proofErr w:type="spellEnd"/>
      <w:r>
        <w:t xml:space="preserve"> Cultures." </w:t>
      </w:r>
      <w:proofErr w:type="spellStart"/>
      <w:r>
        <w:rPr>
          <w:i/>
          <w:iCs/>
        </w:rPr>
        <w:t>BioTechniques</w:t>
      </w:r>
      <w:proofErr w:type="spellEnd"/>
      <w:r>
        <w:rPr>
          <w:i/>
          <w:iCs/>
        </w:rPr>
        <w:t xml:space="preserve"> Biotech.</w:t>
      </w:r>
      <w:r>
        <w:t xml:space="preserve"> 39.4 (2005): 457-58. Web.</w:t>
      </w:r>
    </w:p>
    <w:sectPr w:rsidR="008A1F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8F" w:rsidRDefault="0071068F" w:rsidP="0060195C">
      <w:pPr>
        <w:spacing w:after="0" w:line="240" w:lineRule="auto"/>
      </w:pPr>
      <w:r>
        <w:separator/>
      </w:r>
    </w:p>
  </w:endnote>
  <w:endnote w:type="continuationSeparator" w:id="0">
    <w:p w:rsidR="0071068F" w:rsidRDefault="0071068F" w:rsidP="0060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C7" w:rsidRDefault="00DA4FC7">
    <w:pPr>
      <w:pStyle w:val="Footer"/>
    </w:pPr>
    <w:r>
      <w:t>Questions:</w:t>
    </w:r>
  </w:p>
  <w:p w:rsidR="00462E7F" w:rsidRDefault="00462E7F">
    <w:pPr>
      <w:pStyle w:val="Footer"/>
    </w:pPr>
    <w:r>
      <w:t xml:space="preserve">Andrew </w:t>
    </w:r>
    <w:proofErr w:type="spellStart"/>
    <w:r>
      <w:t>Castonguay</w:t>
    </w:r>
    <w:proofErr w:type="spellEnd"/>
    <w:r w:rsidR="00DA4FC7">
      <w:tab/>
      <w:t>c</w:t>
    </w:r>
    <w:r>
      <w:t>astonguay.3@osu.edu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8F" w:rsidRDefault="0071068F" w:rsidP="0060195C">
      <w:pPr>
        <w:spacing w:after="0" w:line="240" w:lineRule="auto"/>
      </w:pPr>
      <w:r>
        <w:separator/>
      </w:r>
    </w:p>
  </w:footnote>
  <w:footnote w:type="continuationSeparator" w:id="0">
    <w:p w:rsidR="0071068F" w:rsidRDefault="0071068F" w:rsidP="0060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5C" w:rsidRDefault="0060195C" w:rsidP="0060195C">
    <w:pPr>
      <w:pStyle w:val="Header"/>
      <w:jc w:val="both"/>
    </w:pPr>
    <w:r>
      <w:t>Triple Cocktail Antibiotic Plates</w:t>
    </w:r>
    <w:r>
      <w:tab/>
    </w:r>
    <w:r>
      <w:tab/>
      <w:t>5/2015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102"/>
    <w:multiLevelType w:val="hybridMultilevel"/>
    <w:tmpl w:val="4290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5C"/>
    <w:rsid w:val="00000FAE"/>
    <w:rsid w:val="00117C6C"/>
    <w:rsid w:val="001F707E"/>
    <w:rsid w:val="002F2244"/>
    <w:rsid w:val="00372DE3"/>
    <w:rsid w:val="00462E7F"/>
    <w:rsid w:val="0060195C"/>
    <w:rsid w:val="0071068F"/>
    <w:rsid w:val="007F2E13"/>
    <w:rsid w:val="008A1F8B"/>
    <w:rsid w:val="008E2778"/>
    <w:rsid w:val="00B232D2"/>
    <w:rsid w:val="00B6440A"/>
    <w:rsid w:val="00BD1C0E"/>
    <w:rsid w:val="00BF1E5A"/>
    <w:rsid w:val="00C64E37"/>
    <w:rsid w:val="00D152CD"/>
    <w:rsid w:val="00D70183"/>
    <w:rsid w:val="00DA4FC7"/>
    <w:rsid w:val="00DF3A52"/>
    <w:rsid w:val="00E94423"/>
    <w:rsid w:val="00F0535C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F4FE"/>
  <w15:docId w15:val="{21EF1AB5-C59A-4889-89DE-04BC16CC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5C"/>
  </w:style>
  <w:style w:type="paragraph" w:styleId="Footer">
    <w:name w:val="footer"/>
    <w:basedOn w:val="Normal"/>
    <w:link w:val="FooterChar"/>
    <w:uiPriority w:val="99"/>
    <w:unhideWhenUsed/>
    <w:rsid w:val="0060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5C"/>
  </w:style>
  <w:style w:type="paragraph" w:styleId="ListParagraph">
    <w:name w:val="List Paragraph"/>
    <w:basedOn w:val="Normal"/>
    <w:uiPriority w:val="34"/>
    <w:qFormat/>
    <w:rsid w:val="0060195C"/>
    <w:pPr>
      <w:ind w:left="720"/>
      <w:contextualSpacing/>
    </w:pPr>
  </w:style>
  <w:style w:type="table" w:styleId="TableGrid">
    <w:name w:val="Table Grid"/>
    <w:basedOn w:val="TableNormal"/>
    <w:uiPriority w:val="59"/>
    <w:rsid w:val="00BD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Castonguay, Andrew D.</cp:lastModifiedBy>
  <cp:revision>4</cp:revision>
  <cp:lastPrinted>2015-11-05T17:08:00Z</cp:lastPrinted>
  <dcterms:created xsi:type="dcterms:W3CDTF">2017-11-19T22:07:00Z</dcterms:created>
  <dcterms:modified xsi:type="dcterms:W3CDTF">2017-11-20T17:17:00Z</dcterms:modified>
</cp:coreProperties>
</file>