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005CE" w14:textId="4F0329C3" w:rsidR="001C1288" w:rsidRPr="001C1288" w:rsidRDefault="00532FEE" w:rsidP="001C1288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Recipe for o</w:t>
      </w:r>
      <w:r w:rsidR="001C1288" w:rsidRPr="001C1288">
        <w:rPr>
          <w:b/>
          <w:sz w:val="24"/>
          <w:szCs w:val="24"/>
        </w:rPr>
        <w:t xml:space="preserve">ptimized </w:t>
      </w:r>
      <w:r w:rsidR="001C1288" w:rsidRPr="001C1288">
        <w:rPr>
          <w:b/>
          <w:i/>
          <w:sz w:val="24"/>
          <w:szCs w:val="24"/>
        </w:rPr>
        <w:t xml:space="preserve">C. </w:t>
      </w:r>
      <w:proofErr w:type="spellStart"/>
      <w:r w:rsidR="001C1288" w:rsidRPr="001C1288">
        <w:rPr>
          <w:b/>
          <w:i/>
          <w:sz w:val="24"/>
          <w:szCs w:val="24"/>
        </w:rPr>
        <w:t>reinhardtii</w:t>
      </w:r>
      <w:proofErr w:type="spellEnd"/>
      <w:r w:rsidR="001C1288" w:rsidRPr="001C1288">
        <w:rPr>
          <w:b/>
          <w:sz w:val="24"/>
          <w:szCs w:val="24"/>
        </w:rPr>
        <w:t xml:space="preserve"> production medium by </w:t>
      </w:r>
      <w:hyperlink r:id="rId5" w:history="1">
        <w:r w:rsidR="001C1288" w:rsidRPr="008D5F8D">
          <w:rPr>
            <w:rStyle w:val="Hyperlink"/>
            <w:b/>
            <w:sz w:val="24"/>
            <w:szCs w:val="24"/>
          </w:rPr>
          <w:t xml:space="preserve">Freudenberg </w:t>
        </w:r>
        <w:r w:rsidR="001C1288" w:rsidRPr="008D5F8D">
          <w:rPr>
            <w:rStyle w:val="Hyperlink"/>
            <w:b/>
            <w:i/>
            <w:iCs/>
            <w:sz w:val="24"/>
            <w:szCs w:val="24"/>
          </w:rPr>
          <w:t>et al</w:t>
        </w:r>
        <w:r w:rsidR="001C1288" w:rsidRPr="008D5F8D">
          <w:rPr>
            <w:rStyle w:val="Hyperlink"/>
            <w:b/>
            <w:iCs/>
            <w:sz w:val="24"/>
            <w:szCs w:val="24"/>
          </w:rPr>
          <w:t>.</w:t>
        </w:r>
        <w:r w:rsidR="001C1288" w:rsidRPr="008D5F8D">
          <w:rPr>
            <w:rStyle w:val="Hyperlink"/>
            <w:b/>
            <w:sz w:val="24"/>
            <w:szCs w:val="24"/>
          </w:rPr>
          <w:t xml:space="preserve"> 202</w:t>
        </w:r>
        <w:r w:rsidR="002450A9" w:rsidRPr="008D5F8D">
          <w:rPr>
            <w:rStyle w:val="Hyperlink"/>
            <w:b/>
            <w:sz w:val="24"/>
            <w:szCs w:val="24"/>
          </w:rPr>
          <w:t>1</w:t>
        </w:r>
      </w:hyperlink>
    </w:p>
    <w:p w14:paraId="459513AB" w14:textId="69D387E6" w:rsidR="001C1288" w:rsidRPr="00340569" w:rsidRDefault="001C1288" w:rsidP="00546119">
      <w:pPr>
        <w:spacing w:line="276" w:lineRule="auto"/>
        <w:jc w:val="both"/>
      </w:pPr>
      <w:r w:rsidRPr="00340569">
        <w:t xml:space="preserve">Optimized phototrophic production medium (6xP) for high cell density cultivation of nitrate capable </w:t>
      </w:r>
      <w:r w:rsidRPr="00340569">
        <w:rPr>
          <w:i/>
        </w:rPr>
        <w:t>C. </w:t>
      </w:r>
      <w:proofErr w:type="spellStart"/>
      <w:r w:rsidRPr="00340569">
        <w:rPr>
          <w:i/>
        </w:rPr>
        <w:t>reinhardtii</w:t>
      </w:r>
      <w:proofErr w:type="spellEnd"/>
      <w:r w:rsidRPr="00340569">
        <w:t>. The medium is based on the original TAP medium recipe (Gorman &amp; Levine, 1965) but avoids the components Tris, acetate and</w:t>
      </w:r>
      <w:r w:rsidR="008E3D31">
        <w:t xml:space="preserve"> ammonium. The respective </w:t>
      </w:r>
      <w:proofErr w:type="gramStart"/>
      <w:r w:rsidR="008E3D31">
        <w:t xml:space="preserve">micro </w:t>
      </w:r>
      <w:r w:rsidRPr="00340569">
        <w:t>nutrient</w:t>
      </w:r>
      <w:proofErr w:type="gramEnd"/>
      <w:r w:rsidRPr="00340569">
        <w:t xml:space="preserve"> composition is described in </w:t>
      </w:r>
      <w:proofErr w:type="spellStart"/>
      <w:r w:rsidRPr="00340569">
        <w:t>Kropat</w:t>
      </w:r>
      <w:proofErr w:type="spellEnd"/>
      <w:r w:rsidRPr="00340569">
        <w:t xml:space="preserve"> </w:t>
      </w:r>
      <w:r w:rsidRPr="008E3D31">
        <w:rPr>
          <w:i/>
          <w:iCs/>
        </w:rPr>
        <w:t>et al.</w:t>
      </w:r>
      <w:r w:rsidRPr="00340569">
        <w:t xml:space="preserve"> (2011) with </w:t>
      </w:r>
      <w:r w:rsidRPr="00340569">
        <w:rPr>
          <w:rFonts w:ascii="Calibri" w:eastAsia="Times New Roman" w:hAnsi="Calibri" w:cs="Calibri"/>
          <w:color w:val="000000"/>
        </w:rPr>
        <w:t>Na</w:t>
      </w:r>
      <w:r w:rsidRPr="00340569">
        <w:rPr>
          <w:rFonts w:ascii="Calibri" w:eastAsia="Times New Roman" w:hAnsi="Calibri" w:cs="Calibri"/>
          <w:color w:val="000000"/>
          <w:vertAlign w:val="subscript"/>
        </w:rPr>
        <w:t>2</w:t>
      </w:r>
      <w:r w:rsidRPr="00340569">
        <w:rPr>
          <w:rFonts w:ascii="Calibri" w:eastAsia="Times New Roman" w:hAnsi="Calibri" w:cs="Calibri"/>
          <w:color w:val="000000"/>
        </w:rPr>
        <w:t>MoO</w:t>
      </w:r>
      <w:r w:rsidRPr="00340569">
        <w:rPr>
          <w:rFonts w:ascii="Calibri" w:eastAsia="Times New Roman" w:hAnsi="Calibri" w:cs="Calibri"/>
          <w:color w:val="000000"/>
          <w:vertAlign w:val="subscript"/>
        </w:rPr>
        <w:t xml:space="preserve">4 </w:t>
      </w:r>
      <w:r w:rsidRPr="00340569">
        <w:rPr>
          <w:rFonts w:ascii="Calibri" w:eastAsia="Times New Roman" w:hAnsi="Calibri" w:cs="Calibri"/>
          <w:color w:val="000000"/>
        </w:rPr>
        <w:t>used</w:t>
      </w:r>
      <w:r w:rsidRPr="00340569">
        <w:t>. The pH stabilizes around ~7.1 in ambient air and does not drop below 6.5 in CO</w:t>
      </w:r>
      <w:r w:rsidRPr="00340569">
        <w:rPr>
          <w:vertAlign w:val="subscript"/>
        </w:rPr>
        <w:t>2</w:t>
      </w:r>
      <w:r w:rsidRPr="00340569">
        <w:t>-enriched conditions. In stationary growth phase, removing CO</w:t>
      </w:r>
      <w:r w:rsidRPr="00340569">
        <w:rPr>
          <w:vertAlign w:val="subscript"/>
        </w:rPr>
        <w:t>2</w:t>
      </w:r>
      <w:r w:rsidRPr="00340569">
        <w:t>-gassing results in a pH of about 9. Note: Only nitrate and CO</w:t>
      </w:r>
      <w:r w:rsidRPr="00340569">
        <w:rPr>
          <w:vertAlign w:val="subscript"/>
        </w:rPr>
        <w:t>2</w:t>
      </w:r>
      <w:r w:rsidRPr="00340569">
        <w:t xml:space="preserve"> serve as a nitrogen / carbon source. Ensure adequate light regimes</w:t>
      </w:r>
      <w:r w:rsidR="008E3D31">
        <w:t xml:space="preserve"> (&gt;700 µmol/m</w:t>
      </w:r>
      <w:r w:rsidR="008E3D31" w:rsidRPr="008E3D31">
        <w:rPr>
          <w:vertAlign w:val="superscript"/>
        </w:rPr>
        <w:t>2</w:t>
      </w:r>
      <w:r w:rsidR="008E3D31">
        <w:t>/s)</w:t>
      </w:r>
      <w:r w:rsidRPr="00340569">
        <w:t xml:space="preserve"> and CO</w:t>
      </w:r>
      <w:r w:rsidRPr="00340569">
        <w:rPr>
          <w:vertAlign w:val="subscript"/>
        </w:rPr>
        <w:t>2</w:t>
      </w:r>
      <w:r w:rsidRPr="00340569">
        <w:t xml:space="preserve"> </w:t>
      </w:r>
      <w:r w:rsidR="008E3D31">
        <w:t xml:space="preserve">(&gt;3% (v/v)) </w:t>
      </w:r>
      <w:r w:rsidRPr="00340569">
        <w:t xml:space="preserve">availability for optimal growth. To avoid calcium phosphate precipitation, add the P-solution after autoclaving. </w:t>
      </w:r>
    </w:p>
    <w:tbl>
      <w:tblPr>
        <w:tblpPr w:leftFromText="180" w:rightFromText="180" w:bottomFromText="160" w:vertAnchor="text" w:horzAnchor="margin" w:tblpXSpec="center" w:tblpY="508"/>
        <w:tblW w:w="8964" w:type="dxa"/>
        <w:tblLayout w:type="fixed"/>
        <w:tblLook w:val="04A0" w:firstRow="1" w:lastRow="0" w:firstColumn="1" w:lastColumn="0" w:noHBand="0" w:noVBand="1"/>
      </w:tblPr>
      <w:tblGrid>
        <w:gridCol w:w="1843"/>
        <w:gridCol w:w="1780"/>
        <w:gridCol w:w="1780"/>
        <w:gridCol w:w="1780"/>
        <w:gridCol w:w="1781"/>
      </w:tblGrid>
      <w:tr w:rsidR="002E2A92" w14:paraId="79ADE3DC" w14:textId="12970E9C" w:rsidTr="00474F61">
        <w:trPr>
          <w:trHeight w:val="360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874FE" w14:textId="77777777" w:rsidR="002E2A92" w:rsidRDefault="002E2A92" w:rsidP="003C3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component</w:t>
            </w:r>
          </w:p>
        </w:tc>
        <w:tc>
          <w:tcPr>
            <w:tcW w:w="3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972C" w14:textId="77777777" w:rsidR="002E2A92" w:rsidRDefault="002E2A92" w:rsidP="003C3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25x stock</w:t>
            </w:r>
          </w:p>
        </w:tc>
        <w:tc>
          <w:tcPr>
            <w:tcW w:w="35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182ABF" w14:textId="6EF3C2B6" w:rsidR="002E2A92" w:rsidRDefault="002E2A92" w:rsidP="00546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1x </w:t>
            </w:r>
            <w:r w:rsidR="0054611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final </w:t>
            </w:r>
            <w:r w:rsidR="0023588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</w:t>
            </w:r>
            <w:r w:rsidR="0054611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 medium</w:t>
            </w:r>
            <w:r w:rsidR="0023588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E2A92" w14:paraId="6D65ACF1" w14:textId="622CC471" w:rsidTr="00474F61">
        <w:trPr>
          <w:trHeight w:val="360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B5D72" w14:textId="77777777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MgSO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∙ 7 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120C8EE5" w14:textId="2EE4E5C4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 mM</w:t>
            </w:r>
          </w:p>
        </w:tc>
        <w:tc>
          <w:tcPr>
            <w:tcW w:w="178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6D2AEAD" w14:textId="54FEF538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14.8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g/L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83E143" w14:textId="66BE3A62" w:rsidR="002E2A92" w:rsidRPr="002E2A92" w:rsidRDefault="002E2A92" w:rsidP="002E2A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 xml:space="preserve">2.4 </w:t>
            </w:r>
            <w:proofErr w:type="spellStart"/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>mM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6A7901D5" w14:textId="044AF41C" w:rsidR="002E2A92" w:rsidRPr="002E2A92" w:rsidRDefault="002E2A92" w:rsidP="002E2A9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E2A9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>591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 xml:space="preserve"> mg/L</w:t>
            </w:r>
          </w:p>
        </w:tc>
      </w:tr>
      <w:tr w:rsidR="002E2A92" w14:paraId="5A5DB6FE" w14:textId="3F483FF7" w:rsidTr="00474F61">
        <w:trPr>
          <w:trHeight w:val="360"/>
        </w:trPr>
        <w:tc>
          <w:tcPr>
            <w:tcW w:w="184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70A87F13" w14:textId="77777777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CaCl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∙ 2 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noWrap/>
            <w:vAlign w:val="center"/>
          </w:tcPr>
          <w:p w14:paraId="0B2000E7" w14:textId="462407E9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 mM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vAlign w:val="center"/>
            <w:hideMark/>
          </w:tcPr>
          <w:p w14:paraId="65CF6147" w14:textId="54123C42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4.4 g/L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5FD3C5F2" w14:textId="594D02C2" w:rsidR="002E2A92" w:rsidRPr="002E2A92" w:rsidRDefault="00474F61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>1.2</w:t>
            </w:r>
            <w:r w:rsidR="002E2A9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 w:rsidR="002E2A9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>mM</w:t>
            </w:r>
            <w:proofErr w:type="spellEnd"/>
          </w:p>
        </w:tc>
        <w:tc>
          <w:tcPr>
            <w:tcW w:w="1781" w:type="dxa"/>
            <w:vAlign w:val="center"/>
          </w:tcPr>
          <w:p w14:paraId="51CABCAC" w14:textId="21A0F0D7" w:rsidR="002E2A92" w:rsidRP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A9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>176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 xml:space="preserve"> mg/L</w:t>
            </w:r>
          </w:p>
        </w:tc>
      </w:tr>
      <w:tr w:rsidR="002E2A92" w14:paraId="3690F922" w14:textId="69B4F96F" w:rsidTr="00474F61">
        <w:trPr>
          <w:trHeight w:val="360"/>
        </w:trPr>
        <w:tc>
          <w:tcPr>
            <w:tcW w:w="184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5842258F" w14:textId="77777777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NaNO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noWrap/>
            <w:vAlign w:val="center"/>
          </w:tcPr>
          <w:p w14:paraId="7CA7BF61" w14:textId="7B062026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1125 mM</w:t>
            </w:r>
          </w:p>
        </w:tc>
        <w:tc>
          <w:tcPr>
            <w:tcW w:w="1780" w:type="dxa"/>
            <w:tcBorders>
              <w:right w:val="single" w:sz="4" w:space="0" w:color="auto"/>
            </w:tcBorders>
            <w:vAlign w:val="center"/>
            <w:hideMark/>
          </w:tcPr>
          <w:p w14:paraId="4A65E3AC" w14:textId="5A9EA4CA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95.6 g/L</w:t>
            </w:r>
          </w:p>
        </w:tc>
        <w:tc>
          <w:tcPr>
            <w:tcW w:w="1780" w:type="dxa"/>
            <w:tcBorders>
              <w:left w:val="single" w:sz="4" w:space="0" w:color="auto"/>
            </w:tcBorders>
            <w:vAlign w:val="center"/>
          </w:tcPr>
          <w:p w14:paraId="41DC2C01" w14:textId="07CD6570" w:rsidR="002E2A92" w:rsidRP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4F61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e-DE"/>
              </w:rPr>
              <w:t>45</w:t>
            </w:r>
            <w:r w:rsidR="00474F61" w:rsidRPr="00474F61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e-DE"/>
              </w:rPr>
              <w:t>.</w:t>
            </w:r>
            <w:r w:rsidR="00474F61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e-DE"/>
              </w:rPr>
              <w:t>0</w:t>
            </w:r>
            <w:r w:rsidRPr="00474F61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e-DE"/>
              </w:rPr>
              <w:t xml:space="preserve"> mM</w:t>
            </w:r>
          </w:p>
        </w:tc>
        <w:tc>
          <w:tcPr>
            <w:tcW w:w="1781" w:type="dxa"/>
            <w:vAlign w:val="center"/>
          </w:tcPr>
          <w:p w14:paraId="5ED20731" w14:textId="0E334470" w:rsidR="002E2A92" w:rsidRP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4F61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de-DE"/>
              </w:rPr>
              <w:t>3824 mg/L</w:t>
            </w:r>
          </w:p>
        </w:tc>
      </w:tr>
    </w:tbl>
    <w:p w14:paraId="03206A41" w14:textId="346ABE2B" w:rsidR="001C1288" w:rsidRDefault="00C045BE" w:rsidP="001C1288">
      <w:pPr>
        <w:pStyle w:val="ListParagraph"/>
        <w:numPr>
          <w:ilvl w:val="0"/>
          <w:numId w:val="1"/>
        </w:num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Prepare 25x </w:t>
      </w:r>
      <w:r w:rsidR="002E2A92">
        <w:rPr>
          <w:b/>
          <w:sz w:val="28"/>
          <w:lang w:val="en-US"/>
        </w:rPr>
        <w:t xml:space="preserve">stock </w:t>
      </w:r>
      <w:r>
        <w:rPr>
          <w:b/>
          <w:sz w:val="28"/>
          <w:lang w:val="en-US"/>
        </w:rPr>
        <w:t>salt solution</w:t>
      </w:r>
    </w:p>
    <w:p w14:paraId="610BE75A" w14:textId="77777777" w:rsidR="00474F61" w:rsidRDefault="00474F61" w:rsidP="00474F61">
      <w:pPr>
        <w:pStyle w:val="ListParagraph"/>
        <w:spacing w:after="0"/>
        <w:rPr>
          <w:b/>
          <w:sz w:val="28"/>
          <w:lang w:val="en-US"/>
        </w:rPr>
      </w:pPr>
    </w:p>
    <w:p w14:paraId="6B038991" w14:textId="1E1D31CA" w:rsidR="001C1288" w:rsidRDefault="001C1288" w:rsidP="001C1288">
      <w:pPr>
        <w:pStyle w:val="ListParagraph"/>
        <w:numPr>
          <w:ilvl w:val="0"/>
          <w:numId w:val="1"/>
        </w:num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>P</w:t>
      </w:r>
      <w:r w:rsidR="003C3BAE">
        <w:rPr>
          <w:b/>
          <w:sz w:val="28"/>
          <w:lang w:val="en-US"/>
        </w:rPr>
        <w:t xml:space="preserve">repare 500x </w:t>
      </w:r>
      <w:r w:rsidR="002E2A92">
        <w:rPr>
          <w:b/>
          <w:sz w:val="28"/>
          <w:lang w:val="en-US"/>
        </w:rPr>
        <w:t xml:space="preserve">stock </w:t>
      </w:r>
      <w:r w:rsidR="003C3BAE">
        <w:rPr>
          <w:b/>
          <w:sz w:val="28"/>
          <w:lang w:val="en-US"/>
        </w:rPr>
        <w:t>P-solution</w:t>
      </w:r>
    </w:p>
    <w:tbl>
      <w:tblPr>
        <w:tblpPr w:leftFromText="180" w:rightFromText="180" w:bottomFromText="160" w:vertAnchor="text" w:horzAnchor="page" w:tblpXSpec="center" w:tblpY="136"/>
        <w:tblW w:w="8931" w:type="dxa"/>
        <w:tblLayout w:type="fixed"/>
        <w:tblLook w:val="04A0" w:firstRow="1" w:lastRow="0" w:firstColumn="1" w:lastColumn="0" w:noHBand="0" w:noVBand="1"/>
      </w:tblPr>
      <w:tblGrid>
        <w:gridCol w:w="1843"/>
        <w:gridCol w:w="1729"/>
        <w:gridCol w:w="1815"/>
        <w:gridCol w:w="1757"/>
        <w:gridCol w:w="1787"/>
      </w:tblGrid>
      <w:tr w:rsidR="002E2A92" w14:paraId="3F5D3EEA" w14:textId="00F20732" w:rsidTr="00474F61">
        <w:trPr>
          <w:trHeight w:val="360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90AFD" w14:textId="77777777" w:rsidR="002E2A92" w:rsidRDefault="002E2A92" w:rsidP="003C3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component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F9B6B" w14:textId="77777777" w:rsidR="002E2A92" w:rsidRDefault="002E2A92" w:rsidP="003C3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500x stock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AC21C" w14:textId="582E1681" w:rsidR="002E2A92" w:rsidRDefault="002E2A92" w:rsidP="00546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1x </w:t>
            </w:r>
            <w:r w:rsidR="0054611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final </w:t>
            </w:r>
            <w:r w:rsidR="0023588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(</w:t>
            </w:r>
            <w:r w:rsidR="0054611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 medium</w:t>
            </w:r>
            <w:r w:rsidR="0023588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E2A92" w14:paraId="3873D779" w14:textId="17C587D0" w:rsidTr="00474F61">
        <w:trPr>
          <w:trHeight w:val="360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364DB" w14:textId="77777777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HPO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6F811B32" w14:textId="01DA2B09" w:rsidR="002E2A92" w:rsidRDefault="0023588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2.2</w:t>
            </w:r>
            <w:r w:rsidR="002E2A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6FD2DE5" w14:textId="77777777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383.2 g/L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D69735" w14:textId="38DC0417" w:rsidR="002E2A92" w:rsidRP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4.4 mM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0FF7FB20" w14:textId="4FDBA11E" w:rsidR="002E2A92" w:rsidRP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A9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>766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 xml:space="preserve"> mg/L</w:t>
            </w:r>
          </w:p>
        </w:tc>
      </w:tr>
      <w:tr w:rsidR="002E2A92" w14:paraId="7736434E" w14:textId="3769B5D2" w:rsidTr="00474F61">
        <w:trPr>
          <w:trHeight w:val="360"/>
        </w:trPr>
        <w:tc>
          <w:tcPr>
            <w:tcW w:w="184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F1E0350" w14:textId="77777777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noWrap/>
            <w:vAlign w:val="center"/>
          </w:tcPr>
          <w:p w14:paraId="4D720368" w14:textId="336B80B1" w:rsidR="002E2A92" w:rsidRDefault="0023588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0.9</w:t>
            </w:r>
            <w:r w:rsidR="002E2A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  <w:hideMark/>
          </w:tcPr>
          <w:p w14:paraId="29F9837A" w14:textId="77777777" w:rsid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45B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122.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g/L</w:t>
            </w: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643598DD" w14:textId="42FB831D" w:rsidR="002E2A92" w:rsidRPr="002E2A92" w:rsidRDefault="00474F61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1.8</w:t>
            </w:r>
            <w:r w:rsidR="002E2A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787" w:type="dxa"/>
            <w:vAlign w:val="center"/>
          </w:tcPr>
          <w:p w14:paraId="6D70FFCB" w14:textId="711AB8D0" w:rsidR="002E2A92" w:rsidRPr="002E2A92" w:rsidRDefault="002E2A92" w:rsidP="002E2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A92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>244</w:t>
            </w:r>
            <w: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de-DE" w:eastAsia="de-DE"/>
              </w:rPr>
              <w:t xml:space="preserve"> mg/L</w:t>
            </w:r>
          </w:p>
        </w:tc>
      </w:tr>
    </w:tbl>
    <w:p w14:paraId="07ADF23A" w14:textId="77777777" w:rsidR="00474F61" w:rsidRDefault="00474F61" w:rsidP="00474F61">
      <w:pPr>
        <w:pStyle w:val="ListParagraph"/>
        <w:rPr>
          <w:b/>
          <w:sz w:val="28"/>
          <w:lang w:val="en-US"/>
        </w:rPr>
      </w:pPr>
    </w:p>
    <w:p w14:paraId="1BC89A10" w14:textId="013C7700" w:rsidR="001C1288" w:rsidRDefault="002E2A92" w:rsidP="00546119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Prepare</w:t>
      </w:r>
      <w:r w:rsidR="001C1288">
        <w:rPr>
          <w:b/>
          <w:sz w:val="28"/>
          <w:lang w:val="en-US"/>
        </w:rPr>
        <w:t xml:space="preserve"> </w:t>
      </w:r>
      <w:proofErr w:type="spellStart"/>
      <w:r w:rsidR="003C3BAE">
        <w:rPr>
          <w:b/>
          <w:sz w:val="28"/>
          <w:lang w:val="en-US"/>
        </w:rPr>
        <w:t>Kropat’s</w:t>
      </w:r>
      <w:proofErr w:type="spellEnd"/>
      <w:r w:rsidR="001C1288">
        <w:rPr>
          <w:b/>
          <w:sz w:val="28"/>
          <w:lang w:val="en-US"/>
        </w:rPr>
        <w:t xml:space="preserve"> trace elements </w:t>
      </w:r>
      <w:r w:rsidR="00340569">
        <w:rPr>
          <w:b/>
          <w:sz w:val="28"/>
          <w:lang w:val="en-US"/>
        </w:rPr>
        <w:t>s</w:t>
      </w:r>
      <w:r w:rsidR="001C1288">
        <w:rPr>
          <w:b/>
          <w:sz w:val="28"/>
          <w:lang w:val="en-US"/>
        </w:rPr>
        <w:t>olution</w:t>
      </w:r>
      <w:r>
        <w:rPr>
          <w:b/>
          <w:sz w:val="28"/>
          <w:lang w:val="en-US"/>
        </w:rPr>
        <w:t>s 1-7</w:t>
      </w:r>
    </w:p>
    <w:p w14:paraId="7200C6F2" w14:textId="65B80762" w:rsidR="00340569" w:rsidRDefault="00340569" w:rsidP="00546119">
      <w:r>
        <w:t xml:space="preserve">Prepare all </w:t>
      </w:r>
      <w:r w:rsidR="003C3BAE">
        <w:t xml:space="preserve">7 trace elements </w:t>
      </w:r>
      <w:r>
        <w:t xml:space="preserve">stock solutions as described in </w:t>
      </w:r>
      <w:proofErr w:type="spellStart"/>
      <w:r>
        <w:t>Kropat</w:t>
      </w:r>
      <w:proofErr w:type="spellEnd"/>
      <w:r>
        <w:t xml:space="preserve"> </w:t>
      </w:r>
      <w:r w:rsidRPr="002450A9">
        <w:rPr>
          <w:i/>
        </w:rPr>
        <w:t>et al.</w:t>
      </w:r>
      <w:r>
        <w:t xml:space="preserve"> (2011) but r</w:t>
      </w:r>
      <w:r w:rsidRPr="00340569">
        <w:t>eplace stock solution 2 (28.5 µM (NH</w:t>
      </w:r>
      <w:r w:rsidRPr="00340569">
        <w:rPr>
          <w:vertAlign w:val="subscript"/>
        </w:rPr>
        <w:t>4</w:t>
      </w:r>
      <w:r w:rsidRPr="00340569">
        <w:t>)</w:t>
      </w:r>
      <w:r w:rsidRPr="00340569">
        <w:rPr>
          <w:vertAlign w:val="subscript"/>
        </w:rPr>
        <w:t>6</w:t>
      </w:r>
      <w:r w:rsidRPr="00340569">
        <w:t>Mo</w:t>
      </w:r>
      <w:r w:rsidRPr="00340569">
        <w:rPr>
          <w:vertAlign w:val="subscript"/>
        </w:rPr>
        <w:t>7</w:t>
      </w:r>
      <w:r w:rsidRPr="00340569">
        <w:t>O</w:t>
      </w:r>
      <w:r w:rsidRPr="00340569">
        <w:rPr>
          <w:vertAlign w:val="subscript"/>
        </w:rPr>
        <w:t>24</w:t>
      </w:r>
      <w:r w:rsidRPr="00340569">
        <w:t xml:space="preserve">) with 200 µM </w:t>
      </w:r>
      <w:r w:rsidRPr="00340569">
        <w:rPr>
          <w:rFonts w:ascii="Calibri" w:eastAsia="Times New Roman" w:hAnsi="Calibri" w:cs="Calibri"/>
          <w:color w:val="000000"/>
        </w:rPr>
        <w:t>Na</w:t>
      </w:r>
      <w:r w:rsidRPr="00340569">
        <w:rPr>
          <w:rFonts w:ascii="Calibri" w:eastAsia="Times New Roman" w:hAnsi="Calibri" w:cs="Calibri"/>
          <w:color w:val="000000"/>
          <w:vertAlign w:val="subscript"/>
        </w:rPr>
        <w:t>2</w:t>
      </w:r>
      <w:r w:rsidRPr="00340569">
        <w:rPr>
          <w:rFonts w:ascii="Calibri" w:eastAsia="Times New Roman" w:hAnsi="Calibri" w:cs="Calibri"/>
          <w:color w:val="000000"/>
        </w:rPr>
        <w:t>MoO</w:t>
      </w:r>
      <w:r w:rsidRPr="00340569">
        <w:rPr>
          <w:rFonts w:ascii="Calibri" w:eastAsia="Times New Roman" w:hAnsi="Calibri" w:cs="Calibri"/>
          <w:color w:val="000000"/>
          <w:vertAlign w:val="subscript"/>
        </w:rPr>
        <w:t>4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C734BE">
        <w:rPr>
          <w:rFonts w:ascii="Calibri" w:eastAsia="Times New Roman" w:hAnsi="Calibri" w:cs="Calibri"/>
          <w:color w:val="000000"/>
        </w:rPr>
        <w:t>to avoid ammonium. U</w:t>
      </w:r>
      <w:r>
        <w:rPr>
          <w:rFonts w:ascii="Calibri" w:eastAsia="Times New Roman" w:hAnsi="Calibri" w:cs="Calibri"/>
          <w:color w:val="000000"/>
        </w:rPr>
        <w:t xml:space="preserve">se </w:t>
      </w:r>
      <w:r w:rsidR="003C3BAE">
        <w:rPr>
          <w:rFonts w:ascii="Calibri" w:eastAsia="Times New Roman" w:hAnsi="Calibri" w:cs="Calibri"/>
          <w:color w:val="000000"/>
        </w:rPr>
        <w:t>them as</w:t>
      </w:r>
      <w:r>
        <w:rPr>
          <w:rFonts w:ascii="Calibri" w:eastAsia="Times New Roman" w:hAnsi="Calibri" w:cs="Calibri"/>
          <w:color w:val="000000"/>
        </w:rPr>
        <w:t xml:space="preserve"> 333x stock</w:t>
      </w:r>
      <w:r w:rsidR="003C3BAE">
        <w:rPr>
          <w:rFonts w:ascii="Calibri" w:eastAsia="Times New Roman" w:hAnsi="Calibri" w:cs="Calibri"/>
          <w:color w:val="000000"/>
        </w:rPr>
        <w:t xml:space="preserve"> (</w:t>
      </w:r>
      <w:hyperlink r:id="rId6" w:history="1">
        <w:r w:rsidRPr="00280755">
          <w:rPr>
            <w:rStyle w:val="Hyperlink"/>
          </w:rPr>
          <w:t>https://doi.org/10.1111/j.1365-313X.2011.04537.x</w:t>
        </w:r>
      </w:hyperlink>
      <w:r w:rsidR="003C3BAE">
        <w:t>).</w:t>
      </w:r>
    </w:p>
    <w:p w14:paraId="72C2C27B" w14:textId="31863462" w:rsidR="00474F61" w:rsidRPr="00340569" w:rsidRDefault="00C734BE" w:rsidP="00474F6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45B03" wp14:editId="42D976D5">
                <wp:simplePos x="0" y="0"/>
                <wp:positionH relativeFrom="column">
                  <wp:posOffset>-147319</wp:posOffset>
                </wp:positionH>
                <wp:positionV relativeFrom="paragraph">
                  <wp:posOffset>97790</wp:posOffset>
                </wp:positionV>
                <wp:extent cx="6038850" cy="19145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914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2DB26" id="Rechteck 1" o:spid="_x0000_s1026" style="position:absolute;margin-left:-11.6pt;margin-top:7.7pt;width:475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ZPlwIAAI4FAAAOAAAAZHJzL2Uyb0RvYy54bWysVFFv2yAQfp+0/4B4X+1kTddZdaqoVadJ&#10;VRu1nfpMMMRomGNA4mS/fgc4btZVe5iWB8L5ju/4vrvj4nLXabIVziswNZ2clJQIw6FRZl3Tb083&#10;H84p8YGZhmkwoqZ74enl/P27i95WYgot6EY4giDGV72taRuCrYrC81Z0zJ+AFQadElzHAppuXTSO&#10;9Yje6WJalmdFD66xDrjwHr9eZyedJ3wpBQ/3UnoRiK4p3i2k1aV1FddifsGqtWO2VXy4BvuHW3RM&#10;GUw6Ql2zwMjGqT+gOsUdeJDhhENXgJSKi8QB2UzKV2weW2ZF4oLieDvK5P8fLL/bLh1RDdaOEsM6&#10;LNGD4G0Q/DuZRHV66ysMerRLN1get5HqTrou/iMJskuK7kdFxS4Qjh/Pyo/n5zMUnqNv8nlyOpvO&#10;Imrxctw6H74I6Ejc1NRhyZKSbHvrQw49hMRsBm6U1vidVdqQPqKWmCDaHrRqojcZsYPElXZky7D2&#10;YZfYYN6jKLS0wctEjplV2oW9Fhn/QUjUBnlMc4LfMRnnwoRJdrWsETnVrMTfQDL1cbxFoqwNAkZk&#10;iZccsQeAt7GzAEN8PCpSU4+HB+Z/OzyeSJnBhPFwpwy4t5hpZDVkzvEHkbI0UaUVNHvsHAd5pLzl&#10;NwoLeMt8WDKHM4RFx3ch3OMiNWChYNhR0oL7+db3GI+tjV5KepzJmvofG+YEJfqrwabH/jmNQ5yM&#10;09mnKRru2LM69phNdwVYemxsvF3axvigD1vpoHvG52MRs6KLGY65a8qDOxhXIb8V+ABxsVikMBxc&#10;y8KtebQ8gkdVY4M+7Z6Zs0MXBxyAOzjML6teNXOOjScNLDYBpEqd/qLroDcOfWqc4YGKr8qxnaJe&#10;ntH5LwAAAP//AwBQSwMEFAAGAAgAAAAhACQ2/ZfhAAAACgEAAA8AAABkcnMvZG93bnJldi54bWxM&#10;j8tOwzAQRfdI/IM1SOxapykUGuJUqDykIjYNbLpz4mkcEY+j2E3D3zOsYDm6R3fOzTeT68SIQ2g9&#10;KVjMExBItTctNQo+P15m9yBC1GR05wkVfGOATXF5kevM+DPtcSxjI7iEQqYV2Bj7TMpQW3Q6zH2P&#10;xNnRD05HPodGmkGfudx1Mk2SlXS6Jf5gdY9bi/VXeXIKjn21fD/sD0lZ7d62z6/GyqfRKnV9NT0+&#10;gIg4xT8YfvVZHQp2qvyJTBCdglm6TBnl4PYGBAPr9I63VAqWi9UaZJHL/xOKHwAAAP//AwBQSwEC&#10;LQAUAAYACAAAACEAtoM4kv4AAADhAQAAEwAAAAAAAAAAAAAAAAAAAAAAW0NvbnRlbnRfVHlwZXNd&#10;LnhtbFBLAQItABQABgAIAAAAIQA4/SH/1gAAAJQBAAALAAAAAAAAAAAAAAAAAC8BAABfcmVscy8u&#10;cmVsc1BLAQItABQABgAIAAAAIQCJIHZPlwIAAI4FAAAOAAAAAAAAAAAAAAAAAC4CAABkcnMvZTJv&#10;RG9jLnhtbFBLAQItABQABgAIAAAAIQAkNv2X4QAAAAoBAAAPAAAAAAAAAAAAAAAAAPEEAABkcnMv&#10;ZG93bnJldi54bWxQSwUGAAAAAAQABADzAAAA/wUAAAAA&#10;" filled="f" strokecolor="black [3213]" strokeweight="1.5pt"/>
            </w:pict>
          </mc:Fallback>
        </mc:AlternateContent>
      </w:r>
    </w:p>
    <w:p w14:paraId="5DC624F6" w14:textId="77777777" w:rsidR="001C1288" w:rsidRDefault="001C1288" w:rsidP="001C1288">
      <w:pPr>
        <w:pStyle w:val="ListParagraph"/>
        <w:numPr>
          <w:ilvl w:val="0"/>
          <w:numId w:val="1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Prepare final medium as follows:</w:t>
      </w:r>
    </w:p>
    <w:tbl>
      <w:tblPr>
        <w:tblStyle w:val="ListTable1Light"/>
        <w:tblW w:w="8790" w:type="dxa"/>
        <w:tblLayout w:type="fixed"/>
        <w:tblLook w:val="04A0" w:firstRow="1" w:lastRow="0" w:firstColumn="1" w:lastColumn="0" w:noHBand="0" w:noVBand="1"/>
      </w:tblPr>
      <w:tblGrid>
        <w:gridCol w:w="3121"/>
        <w:gridCol w:w="1133"/>
        <w:gridCol w:w="1134"/>
        <w:gridCol w:w="1134"/>
        <w:gridCol w:w="1134"/>
        <w:gridCol w:w="1134"/>
      </w:tblGrid>
      <w:tr w:rsidR="001C1288" w:rsidRPr="00C734BE" w14:paraId="609FA929" w14:textId="77777777" w:rsidTr="0004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4" w:space="0" w:color="auto"/>
            </w:tcBorders>
            <w:hideMark/>
          </w:tcPr>
          <w:p w14:paraId="1584C7B0" w14:textId="77777777" w:rsidR="001C1288" w:rsidRPr="00C734BE" w:rsidRDefault="001C1288" w:rsidP="00C734B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Component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hideMark/>
          </w:tcPr>
          <w:p w14:paraId="21ED6802" w14:textId="77777777" w:rsidR="001C1288" w:rsidRPr="00C734BE" w:rsidRDefault="001C1288" w:rsidP="00C734B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lang w:val="de-DE"/>
              </w:rPr>
            </w:pPr>
            <w:r w:rsidRPr="00C734BE">
              <w:rPr>
                <w:sz w:val="24"/>
                <w:szCs w:val="24"/>
              </w:rPr>
              <w:t>1 L</w:t>
            </w:r>
          </w:p>
        </w:tc>
        <w:tc>
          <w:tcPr>
            <w:tcW w:w="1134" w:type="dxa"/>
            <w:hideMark/>
          </w:tcPr>
          <w:p w14:paraId="2BBBC9A1" w14:textId="77777777" w:rsidR="001C1288" w:rsidRPr="00C734BE" w:rsidRDefault="001C1288" w:rsidP="00C734B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2 L</w:t>
            </w:r>
          </w:p>
        </w:tc>
        <w:tc>
          <w:tcPr>
            <w:tcW w:w="1134" w:type="dxa"/>
            <w:hideMark/>
          </w:tcPr>
          <w:p w14:paraId="5E32E21B" w14:textId="77777777" w:rsidR="001C1288" w:rsidRPr="00C734BE" w:rsidRDefault="001C1288" w:rsidP="00C734B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3 L</w:t>
            </w:r>
          </w:p>
        </w:tc>
        <w:tc>
          <w:tcPr>
            <w:tcW w:w="1134" w:type="dxa"/>
            <w:hideMark/>
          </w:tcPr>
          <w:p w14:paraId="6118FD9F" w14:textId="77777777" w:rsidR="001C1288" w:rsidRPr="00C734BE" w:rsidRDefault="001C1288" w:rsidP="00C734B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4 L</w:t>
            </w:r>
          </w:p>
        </w:tc>
        <w:tc>
          <w:tcPr>
            <w:tcW w:w="1134" w:type="dxa"/>
            <w:hideMark/>
          </w:tcPr>
          <w:p w14:paraId="16C6B879" w14:textId="77777777" w:rsidR="001C1288" w:rsidRPr="00C734BE" w:rsidRDefault="001C1288" w:rsidP="00C734B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5 L</w:t>
            </w:r>
          </w:p>
        </w:tc>
      </w:tr>
      <w:tr w:rsidR="001C1288" w:rsidRPr="00C734BE" w14:paraId="559127E5" w14:textId="77777777" w:rsidTr="00042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829745E" w14:textId="77777777" w:rsidR="001C1288" w:rsidRPr="00C734BE" w:rsidRDefault="001C1288" w:rsidP="00C734B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Salt solution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9621843" w14:textId="77777777" w:rsidR="001C1288" w:rsidRPr="00C734BE" w:rsidRDefault="001C1288" w:rsidP="00C734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40 mL</w:t>
            </w:r>
          </w:p>
        </w:tc>
        <w:tc>
          <w:tcPr>
            <w:tcW w:w="1134" w:type="dxa"/>
            <w:shd w:val="clear" w:color="auto" w:fill="auto"/>
            <w:hideMark/>
          </w:tcPr>
          <w:p w14:paraId="63497B35" w14:textId="77777777" w:rsidR="001C1288" w:rsidRPr="00C734BE" w:rsidRDefault="001C1288" w:rsidP="00C734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80 mL</w:t>
            </w:r>
          </w:p>
        </w:tc>
        <w:tc>
          <w:tcPr>
            <w:tcW w:w="1134" w:type="dxa"/>
            <w:shd w:val="clear" w:color="auto" w:fill="auto"/>
            <w:hideMark/>
          </w:tcPr>
          <w:p w14:paraId="15089B4A" w14:textId="77777777" w:rsidR="001C1288" w:rsidRPr="00C734BE" w:rsidRDefault="001C1288" w:rsidP="00C734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120 mL</w:t>
            </w:r>
          </w:p>
        </w:tc>
        <w:tc>
          <w:tcPr>
            <w:tcW w:w="1134" w:type="dxa"/>
            <w:shd w:val="clear" w:color="auto" w:fill="auto"/>
            <w:hideMark/>
          </w:tcPr>
          <w:p w14:paraId="063A231A" w14:textId="77777777" w:rsidR="001C1288" w:rsidRPr="00C734BE" w:rsidRDefault="001C1288" w:rsidP="00C734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160 mL</w:t>
            </w:r>
          </w:p>
        </w:tc>
        <w:tc>
          <w:tcPr>
            <w:tcW w:w="1134" w:type="dxa"/>
            <w:shd w:val="clear" w:color="auto" w:fill="auto"/>
            <w:hideMark/>
          </w:tcPr>
          <w:p w14:paraId="7F615F47" w14:textId="77777777" w:rsidR="001C1288" w:rsidRPr="00C734BE" w:rsidRDefault="001C1288" w:rsidP="00C734B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200 mL</w:t>
            </w:r>
          </w:p>
        </w:tc>
      </w:tr>
      <w:tr w:rsidR="001C1288" w:rsidRPr="00C734BE" w14:paraId="037E3CC3" w14:textId="77777777" w:rsidTr="00042D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  <w:tcBorders>
              <w:right w:val="single" w:sz="4" w:space="0" w:color="auto"/>
            </w:tcBorders>
            <w:hideMark/>
          </w:tcPr>
          <w:p w14:paraId="3CB454D5" w14:textId="3320FDA9" w:rsidR="001C1288" w:rsidRPr="00C734BE" w:rsidRDefault="001C1288" w:rsidP="00C734BE">
            <w:pPr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 xml:space="preserve">Trace </w:t>
            </w:r>
            <w:r w:rsidR="008E3D31" w:rsidRPr="00C734BE">
              <w:rPr>
                <w:sz w:val="24"/>
                <w:szCs w:val="24"/>
              </w:rPr>
              <w:t>e</w:t>
            </w:r>
            <w:r w:rsidR="00C734BE">
              <w:rPr>
                <w:sz w:val="24"/>
                <w:szCs w:val="24"/>
              </w:rPr>
              <w:t xml:space="preserve">lements </w:t>
            </w:r>
            <w:r w:rsidRPr="00C734BE">
              <w:rPr>
                <w:sz w:val="24"/>
                <w:szCs w:val="24"/>
              </w:rPr>
              <w:t>1-7</w:t>
            </w:r>
            <w:r w:rsidR="00C045BE" w:rsidRPr="00C734BE">
              <w:rPr>
                <w:sz w:val="24"/>
                <w:szCs w:val="24"/>
              </w:rPr>
              <w:t>, each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hideMark/>
          </w:tcPr>
          <w:p w14:paraId="6D2744A5" w14:textId="77777777" w:rsidR="001C1288" w:rsidRPr="00C734BE" w:rsidRDefault="001C1288" w:rsidP="00C734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de-DE"/>
              </w:rPr>
            </w:pPr>
            <w:r w:rsidRPr="00C734BE">
              <w:rPr>
                <w:sz w:val="24"/>
                <w:szCs w:val="24"/>
              </w:rPr>
              <w:t>3 mL</w:t>
            </w:r>
          </w:p>
        </w:tc>
        <w:tc>
          <w:tcPr>
            <w:tcW w:w="1134" w:type="dxa"/>
            <w:hideMark/>
          </w:tcPr>
          <w:p w14:paraId="168162E8" w14:textId="77777777" w:rsidR="001C1288" w:rsidRPr="00C734BE" w:rsidRDefault="001C1288" w:rsidP="00C734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6 mL</w:t>
            </w:r>
          </w:p>
        </w:tc>
        <w:tc>
          <w:tcPr>
            <w:tcW w:w="1134" w:type="dxa"/>
            <w:hideMark/>
          </w:tcPr>
          <w:p w14:paraId="7CBC2695" w14:textId="77777777" w:rsidR="001C1288" w:rsidRPr="00C734BE" w:rsidRDefault="001C1288" w:rsidP="00C734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9 mL</w:t>
            </w:r>
          </w:p>
        </w:tc>
        <w:tc>
          <w:tcPr>
            <w:tcW w:w="1134" w:type="dxa"/>
            <w:hideMark/>
          </w:tcPr>
          <w:p w14:paraId="59212D32" w14:textId="77777777" w:rsidR="001C1288" w:rsidRPr="00C734BE" w:rsidRDefault="001C1288" w:rsidP="00C734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12 mL</w:t>
            </w:r>
          </w:p>
        </w:tc>
        <w:tc>
          <w:tcPr>
            <w:tcW w:w="1134" w:type="dxa"/>
            <w:hideMark/>
          </w:tcPr>
          <w:p w14:paraId="68CFB5CC" w14:textId="77777777" w:rsidR="001C1288" w:rsidRPr="00C734BE" w:rsidRDefault="001C1288" w:rsidP="00C734B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734BE">
              <w:rPr>
                <w:sz w:val="24"/>
                <w:szCs w:val="24"/>
              </w:rPr>
              <w:t>15 mL</w:t>
            </w:r>
          </w:p>
        </w:tc>
      </w:tr>
    </w:tbl>
    <w:p w14:paraId="0EA916E2" w14:textId="07F75FE8" w:rsidR="00D72958" w:rsidRDefault="001C1288" w:rsidP="00937770">
      <w:pPr>
        <w:jc w:val="both"/>
      </w:pPr>
      <w:r>
        <w:br/>
      </w:r>
      <w:r w:rsidR="00C734BE">
        <w:t xml:space="preserve">No pH adjustment required. </w:t>
      </w:r>
      <w:r>
        <w:t xml:space="preserve">Autoclave and cool down. Add 2 mL of autoclaved </w:t>
      </w:r>
      <w:r w:rsidR="003C3BAE">
        <w:t xml:space="preserve">500x </w:t>
      </w:r>
      <w:r w:rsidR="00C734BE">
        <w:t>P-solution per l</w:t>
      </w:r>
      <w:r>
        <w:t>iter medium under sterile conditions. Small amounts of precipitate may form after a few days. This will not affect cell growth.</w:t>
      </w:r>
    </w:p>
    <w:sectPr w:rsidR="00D729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62B68"/>
    <w:multiLevelType w:val="hybridMultilevel"/>
    <w:tmpl w:val="05A2554A"/>
    <w:lvl w:ilvl="0" w:tplc="A2D6589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73"/>
    <w:rsid w:val="00042D0F"/>
    <w:rsid w:val="000B1BC5"/>
    <w:rsid w:val="001C1288"/>
    <w:rsid w:val="001F5AEF"/>
    <w:rsid w:val="0020552C"/>
    <w:rsid w:val="00235882"/>
    <w:rsid w:val="002450A9"/>
    <w:rsid w:val="002706A2"/>
    <w:rsid w:val="002D6367"/>
    <w:rsid w:val="002D73C6"/>
    <w:rsid w:val="002E2A92"/>
    <w:rsid w:val="003338C3"/>
    <w:rsid w:val="00340569"/>
    <w:rsid w:val="003C3BAE"/>
    <w:rsid w:val="003D4AAB"/>
    <w:rsid w:val="00474E0C"/>
    <w:rsid w:val="00474F61"/>
    <w:rsid w:val="00525C37"/>
    <w:rsid w:val="00532FEE"/>
    <w:rsid w:val="00546119"/>
    <w:rsid w:val="006658E6"/>
    <w:rsid w:val="0068304A"/>
    <w:rsid w:val="006F74C0"/>
    <w:rsid w:val="00710726"/>
    <w:rsid w:val="00747E1E"/>
    <w:rsid w:val="008D5F8D"/>
    <w:rsid w:val="008E3D31"/>
    <w:rsid w:val="00937770"/>
    <w:rsid w:val="009418FE"/>
    <w:rsid w:val="00992273"/>
    <w:rsid w:val="009D3C03"/>
    <w:rsid w:val="00AD61BD"/>
    <w:rsid w:val="00B66ED0"/>
    <w:rsid w:val="00C045BE"/>
    <w:rsid w:val="00C734BE"/>
    <w:rsid w:val="00D53AB0"/>
    <w:rsid w:val="00D72958"/>
    <w:rsid w:val="00DB42C8"/>
    <w:rsid w:val="00F30E67"/>
    <w:rsid w:val="00FD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A1EC3"/>
  <w14:defaultImageDpi w14:val="32767"/>
  <w15:chartTrackingRefBased/>
  <w15:docId w15:val="{985BB7CC-EE3E-4055-BD59-DA2BC143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288"/>
    <w:pPr>
      <w:spacing w:line="256" w:lineRule="auto"/>
      <w:ind w:left="720"/>
      <w:contextualSpacing/>
    </w:pPr>
    <w:rPr>
      <w:lang w:val="de-DE"/>
    </w:rPr>
  </w:style>
  <w:style w:type="table" w:styleId="TableGrid">
    <w:name w:val="Table Grid"/>
    <w:basedOn w:val="TableNormal"/>
    <w:uiPriority w:val="39"/>
    <w:rsid w:val="001C1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C12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2">
    <w:name w:val="Plain Table 2"/>
    <w:basedOn w:val="TableNormal"/>
    <w:uiPriority w:val="42"/>
    <w:rsid w:val="007107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">
    <w:name w:val="List Table 1 Light"/>
    <w:basedOn w:val="TableNormal"/>
    <w:uiPriority w:val="46"/>
    <w:rsid w:val="009D3C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405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BE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5F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j.1365-313X.2011.04537.x" TargetMode="External"/><Relationship Id="rId5" Type="http://schemas.openxmlformats.org/officeDocument/2006/relationships/hyperlink" Target="https://www.sciencedirect.com/science/article/pii/S0960852420318162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Freudenberg</dc:creator>
  <cp:keywords/>
  <dc:description/>
  <cp:lastModifiedBy>Matthew C Laudon</cp:lastModifiedBy>
  <cp:revision>2</cp:revision>
  <cp:lastPrinted>2021-01-13T21:04:00Z</cp:lastPrinted>
  <dcterms:created xsi:type="dcterms:W3CDTF">2021-01-13T21:04:00Z</dcterms:created>
  <dcterms:modified xsi:type="dcterms:W3CDTF">2021-01-13T21:04:00Z</dcterms:modified>
</cp:coreProperties>
</file>